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Drucker-RegLab Paradigm: An AI-Powered Framework for Enhancing Regulatory Effectiveness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governance faces a crisis of complexity. Regulatory systems, essential for the functioning of a just and stable society, have grown into labyrinthine structures characterized by inefficiency, incoherence, and an accumulation of outdated rules—a condition Peter Drucker presciently termed the "sickness of government".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report introduces a novel analytical paradigm to address this challenge, born from a hypothetical collaboration between the foundational management principles of Peter Drucker and the data-driven, technology-forward methods of the Stanford Regulation, Evaluation, and Governance Lab (RegLab). This framework leverages the power of a general-purpose, state-of-the-art Large Language Model (LLM) to perform deep, systematic audits of legal and regulatory texts.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methodology detailed herein eschews the development of specialized AI models, relying instead on sophisticated prompt engineering, context engineering, and multi-step analytical workflows. This approach transforms an off-the-shelf LLM into a powerful tool for deconstructing the logic and process flows embedded within official documents. The primary applications of this paradigm are to identify and quantify procedural friction that burdens citizens and businesses; to uncover logical incoherences and contradictions that create legal ambiguity and risk; and to operationalize Drucker's concept of "planned abandonment" to systematically identify and eliminate "policy cruft"—the obsolete regulations that encumber modern governance.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this report posits that technology alone is insufficient. The framework is built upon a human-in-the-loop model, where the indispensable role of the expert analyst—framed as Drucker's archetypal "knowledge worker"—is to guide the AI, critically validate its findings, and mitigate inherent technological risks such as hallucination and bias.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ultimate goal of this report is to provide a strategic blueprint for public sector leaders, policy advisors, and governance experts to move beyond reactive reform. It offers a proactive, data-informed, and philosophically grounded method for cultivating a regulatory ecosystem that is more effective, adaptive, and human-centric.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Drucker Lens: A Framework for Evaluating Regulatory Systems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any technological tool can be effectively applied, a clear and robust conceptual framework is required to define the object of analysis and the criteria for success. This section translates the timeless management philosophy of Peter Drucker into a concrete set of principles for auditing the functional health of governmental and regulatory systems. It establishes the "why" that must precede the technological "how," defining an effective regulatory system not by its internal consistency alone, but by its purpose, outcomes, and impact on society.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Primacy of Effectiveness: "Doing the Right Things" vs. "Doing Things Right"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Peter Drucker's management philosophy lies a critical distinction between two concepts often used interchangeably: efficiency and effectiveness. Drucker defined efficiency as "doing things right," which refers to the optimization of a process to minimize the use of resources, time, and effort. He defined effectiveness, conversely, as "doing the right thing"—ensuring that the process itself is the correct one to achieve a desired outcome.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Drucker, effectiveness was the foundation of success; an organization could be perfectly efficient at a task that was fundamentally useless, leading only to proficient failure.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applied to the regulatory domain, this distinction becomes a powerful diagnostic lens. Many regulatory systems, and the bodies that enforce them, become preoccupied with the efficiency of compliance. They measure success by the speed and accuracy with which forms are filed, boxes are checked, and procedures are followed. While procedural integrity is important, an overemphasis on "doing things right" can obscure a more fundamental failure of effectiveness. This can lead to a state of "performative compliance," where regulated entities meticulously adhere to the letter of the law while the spirit of the regulation—its ultimate public purpose—goes unfulfilled.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example, a factory might comply with all emissions reporting requirements (efficiency) while still releasing harmful pollutants through a loophole the regulation failed to foresee (a failure of effectiveness).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narrow focus on efficiency to the exclusion of other factors is a potential weakness Drucker's theories acknowledge.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true measure of a regulation's value is not the elegance of its compliance mechanism but its tangible impact on the public good. The Drucker Institute's model for ranking corporate performance, which defines effectiveness as "doing the right things well," provides a template for this thinking.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 AI-powered audit must therefore be designed not merely to check for procedural adherence, but to interrogate the logical link between a required action and its intended outcome. A significant portion of the perceived "regulatory burden" that businesses lament may stem not from the existence of regulation itself, but from its poor design for effectiveness, compelling costly compliance activities that produce little societal benefit.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Management by Objectives (MBO) for Policy: A Quest for Coherence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Drucker's concept of Management by Objectives (MBO) proposed that organizational clarity and performance are maximized when superiors and subordinates collaboratively set goals that align individual tasks with the overarching mission.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process requires that objectives be specific, measurable, achievable, relevant, and time-bound (SMART), and that progress is regularly monitored.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originally designed for corporate management, the MBO framework can be powerfully adapted as an analytical tool for assessing the logical coherence of a regulatory system.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adapted model, a statute's preamble or purpose clause serves as the high-level organizational objective. The individual regulations, sections, and clauses that implement the statute are analogous to the tasks assigned to employees. A coherent regulatory system, like a well-managed organization, should demonstrate clear alignment between these levels. Each specific rule should demonstrably contribute to the statute's stated goal without contradicting other rules.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regulatory and legislative processes are often siloed and incremental, lacking the collaborative goal-setting that MBO requires.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Laws are frequently drafted by different committees, at different times, with different political considerations, leading to a body of rules that lacks a unified set of objectives. This results in policy incoherence, where regulations impose conflicting or contradictory mandates on the public. A stark example can be found in financial regulation, where the Consumer Financial Protection Bureau (CFPB) has rules to protect consumers from predatory loans, which can discourage lending to high-risk borrowers, while simultaneously enforcing fair lending laws that scrutinize statistical disparities that may arise from not lending to those same borrowers. This places a lender in a position where they can be legally vulnerable for both making, and not making, a loan to the same person.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is a systemic failure of MBO. An AI-driven audit can be programmed to act as an MBO compliance check for the law itself, systematically identifying these points of incoherence that create ambiguity, risk, and litigation.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Planned Abandonment: The Antidote to "Policy Cruft"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Drucker's most radical and essential contributions to management thought is the principle of "planned abandonment." He argued that the most effective organizations are not those that are best at solving problems, but those that are best at identifying and abandoning activities, products, and policies that are no longer productive or relevant.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Drucker observed a natural human and institutional tendency to cling to "yesterday's successes," even long after they have ceased to be useful.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counteract this, he advocated for a systematic, ongoing process of pruning the unnecessary to free up resources for future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governance, planned abandonment is the direct antidote to the accumulation of "policy cruft"—the mass of outdated, redundant, and irrelevant regulations that clog the legal code. The existence of absurd and archaic laws, such as prohibitions on wearing a housecoat while driving in California or requirements for pickles in Connecticut to bounce, are comical but potent symbols of a systemic failure to practice planned abandonment.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While these examples are trivial, the same dynamic allows more substantively burdensome yet obsolete regulations to persist, imposing real costs on the economy.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Stanford RegLab's partnership with the city of San Francisco to use AI to identify and delete old, redundant sections of the municipal code is a real-world application of this Drucker principle.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need for such an external, technology-driven approach highlights a key structural difference between business and government. In a commercial enterprise, market forces like declining profits provide a clear and powerful feedback loop that compels the abandonment of an obsolete product. In government, the "cost" of an obsolete regulation is an externality, diffused across society in the form of compliance burdens and economic friction, creating no direct incentive for the legislative body to act.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 AI-powered system can simulate this missing feedback loop by systematically scoring regulations for signs of obsolescence, thereby transforming regulatory reform from a sporadic, politically charged event into a continuous, data-informed process of institutional hygiene.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Citizen as "Customer" and the Knowledge Worker as Steward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final Drucker concepts complete the framework for evaluation. First is his insistence that the primary purpose of a business is not to create profit, but to create and serve a customer. Profit, he argued, is not the goal but an essential condition for the organization's continued existence.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Translating this to governance, the primary purpose of a regulatory agency is to serve the citizen and the public good. Procedural integrity and bureaucratic stability are merely conditions for its existence, not its purpose.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"customer-first" mindset provides a powerful lens through which to analyze procedural friction. Procedural friction encompasses the myriad difficulties—confusing forms, duplicative information requests, illogical process sequences, and informational asymmetries—that make compliance difficult, costly, and frustrating.</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friction is a direct symptom of a system designed around its own internal logic and convenience, rather than the experience of its "customer"—the citizen or regulated entity. It reflects a failure of the decentralized, user-centric approach Drucker advocated, where those closest to the customer are empowered to shape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concept is Drucker's identification and definition of the "knowledge worker"—the individual whose primary capital is knowledge and whose work consists of thinking, problem-solving, and communicating rather than manual labor.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Drucker predicted that the productivity of the knowledge worker would be the central challenge of the 21st century.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individuals are the essential assets of the modern economy; they require autonomy, are motivated by achievement and meaningful contribution, and must be led rather than managed.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concept is foundational to the human-AI interaction model proposed in this report. The human analyst tasked with overseeing the AI audit is the ultimate knowledge worker, whose judgment, expertise, and ethical stewardship are indispensable for translating the AI's raw output into meaningful reform.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operationalizes these four Drucker principles, bridging the gap between management philosophy and the specific analytical tasks that an AI can be prompted to perform.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Drucker's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Corresponding Regulatory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Illustrative AI-Driven Analytical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Effectiveness vs. Efficiency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Focus on procedural compliance over outcomes; "Performative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Map the logical chain from a specific rule's requirements to the regulation's stated purpose. </w:t>
            </w:r>
            <w:r w:rsidDel="00000000" w:rsidR="00000000" w:rsidRPr="00000000">
              <w:rPr>
                <w:rFonts w:ascii="Google Sans Text" w:cs="Google Sans Text" w:eastAsia="Google Sans Text" w:hAnsi="Google Sans Text"/>
                <w:b w:val="1"/>
                <w:bCs w:val="1"/>
                <w:color w:val="1b1c1d"/>
                <w:shd w:fill="auto" w:val="clear"/>
                <w:rtl w:val="0"/>
              </w:rPr>
              <w:t xml:space="preserve">Prompt:</w:t>
            </w:r>
            <w:r w:rsidDel="00000000" w:rsidR="00000000" w:rsidRPr="00000000">
              <w:rPr>
                <w:rFonts w:ascii="Google Sans Text" w:cs="Google Sans Text" w:eastAsia="Google Sans Text" w:hAnsi="Google Sans Text"/>
                <w:color w:val="1b1c1d"/>
                <w:shd w:fill="auto" w:val="clear"/>
                <w:rtl w:val="0"/>
              </w:rPr>
              <w:t xml:space="preserve"> "Analyze Section [X] of Regulation. Does the compliance burden it imposes directly and materially contribute to achieving the stated goal in the preamble? Identify potential scenarios where an entity could be compliant with the letter of this section while violating the spirit of the regulation."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Management by Objectives (MBO)</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Incoherence; conflicting or contradictory mandates within or across statutes.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Extract and compare the objectives and obligations imposed on a single entity across multiple regulations. </w:t>
            </w:r>
            <w:r w:rsidDel="00000000" w:rsidR="00000000" w:rsidRPr="00000000">
              <w:rPr>
                <w:rFonts w:ascii="Google Sans Text" w:cs="Google Sans Text" w:eastAsia="Google Sans Text" w:hAnsi="Google Sans Text"/>
                <w:b w:val="1"/>
                <w:bCs w:val="1"/>
                <w:color w:val="1b1c1d"/>
                <w:shd w:fill="auto" w:val="clear"/>
                <w:rtl w:val="0"/>
              </w:rPr>
              <w:t xml:space="preserve">Prompt:</w:t>
            </w:r>
            <w:r w:rsidDel="00000000" w:rsidR="00000000" w:rsidRPr="00000000">
              <w:rPr>
                <w:rFonts w:ascii="Google Sans Text" w:cs="Google Sans Text" w:eastAsia="Google Sans Text" w:hAnsi="Google Sans Text"/>
                <w:color w:val="1b1c1d"/>
                <w:shd w:fill="auto" w:val="clear"/>
                <w:rtl w:val="0"/>
              </w:rPr>
              <w:t xml:space="preserve"> "Assume the persona of a compliance officer for a small business. Ingest Regulations [A],, and [C]. Identify all mandatory actions ('shall,' 'must') and prohibitions ('shall not'). Flag any instances where complying with one regulation would make it difficult or impossible to comply with another."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Planned Abandonment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Obsolescence; "Policy cruft"; outdated and irrelevant laws creating unnecessary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Score regulations based on indicators of obsolescence. </w:t>
            </w:r>
            <w:r w:rsidDel="00000000" w:rsidR="00000000" w:rsidRPr="00000000">
              <w:rPr>
                <w:rFonts w:ascii="Google Sans Text" w:cs="Google Sans Text" w:eastAsia="Google Sans Text" w:hAnsi="Google Sans Text"/>
                <w:b w:val="1"/>
                <w:bCs w:val="1"/>
                <w:color w:val="1b1c1d"/>
                <w:shd w:fill="auto" w:val="clear"/>
                <w:rtl w:val="0"/>
              </w:rPr>
              <w:t xml:space="preserve">Prompt:</w:t>
            </w:r>
            <w:r w:rsidDel="00000000" w:rsidR="00000000" w:rsidRPr="00000000">
              <w:rPr>
                <w:rFonts w:ascii="Google Sans Text" w:cs="Google Sans Text" w:eastAsia="Google Sans Text" w:hAnsi="Google Sans Text"/>
                <w:color w:val="1b1c1d"/>
                <w:shd w:fill="auto" w:val="clear"/>
                <w:rtl w:val="0"/>
              </w:rPr>
              <w:t xml:space="preserve"> "Analyze the legislative history of. Cross-reference it with the current Code of Federal Regulations. Identify its last date of amendment, its frequency of citation in case law over the last 20 years, and whether the technologies or agencies it mentions still exist. Assign a 'Relevance Score' from 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The Citizen as "Customer"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Procedural friction; burdensome and user-unfriendly compliance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Simulate and map the compliance journey from the end-user's perspective. </w:t>
            </w:r>
            <w:r w:rsidDel="00000000" w:rsidR="00000000" w:rsidRPr="00000000">
              <w:rPr>
                <w:rFonts w:ascii="Google Sans Text" w:cs="Google Sans Text" w:eastAsia="Google Sans Text" w:hAnsi="Google Sans Text"/>
                <w:b w:val="1"/>
                <w:bCs w:val="1"/>
                <w:color w:val="1b1c1d"/>
                <w:shd w:fill="auto" w:val="clear"/>
                <w:rtl w:val="0"/>
              </w:rPr>
              <w:t xml:space="preserve">Prompt:</w:t>
            </w:r>
            <w:r w:rsidDel="00000000" w:rsidR="00000000" w:rsidRPr="00000000">
              <w:rPr>
                <w:rFonts w:ascii="Google Sans Text" w:cs="Google Sans Text" w:eastAsia="Google Sans Text" w:hAnsi="Google Sans Text"/>
                <w:color w:val="1b1c1d"/>
                <w:shd w:fill="auto" w:val="clear"/>
                <w:rtl w:val="0"/>
              </w:rPr>
              <w:t xml:space="preserve"> "You are a small farm owner trying to comply with the FSMA Produce Safety Rule. Based on the provided text of the rule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hd w:fill="auto" w:val="clear"/>
                <w:rtl w:val="0"/>
              </w:rPr>
              <w:t xml:space="preserve">, generate a step-by-step checklist of all actions you must take, documents you must create, and information you must track. Identify points in the process where information is requested multiple times or where the sequence of actions is illogical from a practical farming perspective."</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AI-Powered Analyst: A Multi-Step Process for Deconstructing Regulatory Text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Drucker-inspired evaluative framework established, this section details the practical, repeatable methodology for using an off-the-shelf LLM to execute the audit. This multi-phase process is designed to mimic and augment the cognitive workflow of an expert human analyst, moving systematically from basic comprehension to complex logical evaluation. It leverages sophisticated prompt engineering to guide the AI through a structured deconstruction of legal and regulatory text, transforming unstructured documents into a machine-readable format ripe for analysis.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Phase 1: Ingestion and Semantic Structuring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phase involves preparing and feeding the raw regulatory documents to the LLM. Legal and statutory texts present unique challenges; they are often voluminous, dense, and filled with domain-specific terminology and complex syntactical structures that can confuse a general-purpose model.</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quality of the input data is paramount, as incomplete or poorly formatted documents can degrade the performance of any subsequent analysis.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objective of this phase is to move beyond simple text ingestion to semantic structuring. This is achieved by prompting the LLM to act as a specialized information extraction engine. The model is instructed to parse the text and organize it into a structured format, such as JSON, that explicitly identifies the core components of a regulatory statement. This process is analogous to the NLP-based approaches used in other complex domains, such as construction, where the goal is to extract not just terms, but the relationships between them, including subjects, attributes, and deontic operators (e.g., must, may, shall not) that define obligations.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carefully engineered prompt guides this process. For example, the LLM might be instructed: </w:t>
      </w:r>
      <w:r w:rsidDel="00000000" w:rsidR="00000000" w:rsidRPr="00000000">
        <w:rPr>
          <w:rFonts w:ascii="Google Sans Text" w:cs="Google Sans Text" w:eastAsia="Google Sans Text" w:hAnsi="Google Sans Text"/>
          <w:i w:val="1"/>
          <w:iCs w:val="1"/>
          <w:color w:val="1b1c1d"/>
          <w:rtl w:val="0"/>
        </w:rPr>
        <w:t xml:space="preserve">"Ingest the following text from the Code of Federal Regulations. Parse it into a JSON format with the following keys: 'ClauseID', 'RegulatedParty' (the entity to whom the rule applies), 'ObligationType' (e.g., 'Mandatory', 'Prohibited', 'Permitted'), 'Action' (the specific activity being regulated), 'Condition' (circumstances under which the rule applies), and 'Exception' (circumstances under which the rule does not apply). Pay close attention to definitions provided in Section [X] to ensure consistent entity recognition."</w:t>
      </w:r>
      <w:r w:rsidDel="00000000" w:rsidR="00000000" w:rsidRPr="00000000">
        <w:rPr>
          <w:rFonts w:ascii="Google Sans Text" w:cs="Google Sans Text" w:eastAsia="Google Sans Text" w:hAnsi="Google Sans Text"/>
          <w:color w:val="1b1c1d"/>
          <w:rtl w:val="0"/>
        </w:rPr>
        <w:t xml:space="preserve"> This step transforms a wall of text into a structured database, setting the stage for deeper analysis.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Phase 2: Logical Flow and Dependency Mapping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individual regulatory clauses are semantically structured, the second phase focuses on understanding the relationships </w:t>
      </w:r>
      <w:r w:rsidDel="00000000" w:rsidR="00000000" w:rsidRPr="00000000">
        <w:rPr>
          <w:rFonts w:ascii="Google Sans Text" w:cs="Google Sans Text" w:eastAsia="Google Sans Text" w:hAnsi="Google Sans Text"/>
          <w:i w:val="1"/>
          <w:iCs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them. Regulations are not a mere list of rules; they describe processes, with steps that are sequential, conditional, and interdependent. This phase tasks the LLM with mapping these logical flows and dependencies.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form of automated legal process mapping, a technique used in corporate legal operations to visualize workflows, identify bottlenecks, and improve efficiency.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prompts in this phase are designed to elicit the "Who, What, Where, When, and Why" of a regulatory process from the structured data generated in Phase 1.</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goal is to create a machine-readable representation of the process, such as a flowchart or dependency graph, that makes the procedural logic explicit.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a prompt could instruct the LLM: </w:t>
      </w:r>
      <w:r w:rsidDel="00000000" w:rsidR="00000000" w:rsidRPr="00000000">
        <w:rPr>
          <w:rFonts w:ascii="Google Sans Text" w:cs="Google Sans Text" w:eastAsia="Google Sans Text" w:hAnsi="Google Sans Text"/>
          <w:i w:val="1"/>
          <w:iCs w:val="1"/>
          <w:color w:val="1b1c1d"/>
          <w:rtl w:val="0"/>
        </w:rPr>
        <w:t xml:space="preserve">"Based on the structured data from Phase 1, map the procedural workflow for obtaining a permit under Subpart. Identify all prerequisite steps, documents, and approvals required before an application can be filed. What specific events or findings trigger a mandatory agency review? What are the possible decision points (e.g., 'approve', 'deny', 'request more information') and their subsequent procedural paths? Represent this entire process as a MermaidJS flowchart, labeling each node with its corresponding ClauseID."</w:t>
      </w:r>
      <w:r w:rsidDel="00000000" w:rsidR="00000000" w:rsidRPr="00000000">
        <w:rPr>
          <w:rFonts w:ascii="Google Sans Text" w:cs="Google Sans Text" w:eastAsia="Google Sans Text" w:hAnsi="Google Sans Text"/>
          <w:color w:val="1b1c1d"/>
          <w:rtl w:val="0"/>
        </w:rPr>
        <w:t xml:space="preserve"> This output provides a clear, visual model of the regulation's intended procedure, which can then be subjected to critical analysis.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Phase 3: Thematic Analysis and Anomaly Detection (The Drucker Audit)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core analytical phase where the evaluative principles from Part I are applied to the structured and mapped data. It involves designing a suite of sophisticated prompts that task the LLM with auditing the regulatory logic for the specific failures identified by Drucker: inefficiency, incoherence, obsolescence, and poor "customer" experience. This phase relies on advanced legal prompt engineering techniques, which require providing the AI with a clear objective, sufficient context, precise legal language, and a specified output format to guide its analysis.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prompts in this phase are direct operationalizations of the tasks outlined in the table in Part I. To detect incoherence, for example, the LLM would be prompted to search for conflicting obligations imposed on the same regulated party, a common problem in large, complex requirements documents.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To assess procedural friction, the model would be asked to simulate the compliance journey from the end-user's perspective and flag steps that are redundant or confusing.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multi-phase process deliberately mirrors the cognitive workflow of a highly effective human analyst. A human expert first reads and comprehends the individual rules (Phase 1), then mentally or physically sketches out how they connect to form a process (Phase 2), and finally, applies their expertise to critically evaluate that process against a set of standards (Phase 3). By automating the most laborious aspects of the first two phases and conducting a systematic first pass of the third, this framework acts as a massive force multiplier. It frees the human "knowledge worker" from the painstaking manual deconstruction of legal text, allowing them to focus their intellectual energy on interpreting the most complex, ambiguous, and strategically important anomalies flagged by the AI. This positions the AI not as a replacement for human expertise, but as a powerful cognitive tool that elevates the productivity and strategic impact of the policy analyst, perfectly aligning with Drucker's vision for the future of knowledge work.</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Application I - Identifying and Quantifying Procedural Friction and Inefficiency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demonstrates the practical application of the Drucker-RegLab framework to one of the most common and persistent complaints about modern governance: the burden of "red tape." By focusing on procedural friction and inefficiency, the framework can move beyond anecdotal complaints to a systematic, data-driven analysis of how regulatory design impacts citizens and businesses.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Detecting Duplication and Redundancy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primary source of inefficiency in compliance is the requirement to provide the same or similar information multiple times, or to perform redundant procedural steps. This is a particular burden for small businesses, which often lack dedicated compliance departments and must divert the owner's valuable time to administrative paperwork.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AI-powered framework is exceptionally well-suited to identifying these duplications, both within a single complex regulation and across multiple overlapping regulatory regimes. This task directly aligns with the RegLab's mission to reduce "policy cruft" and the broader goal of using AI to identify and eliminate duplicate rules.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Study: Food Safety Modernization Act (FSMA) and Small Farms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FDA Food Safety Modernization Act (FSMA) represents a comprehensive overhaul of U.S. food safety law, but its complexity can be daunting for small agricultural producers.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small farm that both grows fresh produce and processes it into a value-added product like jam may be subject to multiple rules, such as the Produce Safety Rule and the Preventive Controls for Human Food Rule.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creates a high potential for overlapping and duplicative requirements.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Applying the framework, an LLM would be tasked with ingesting the full text of both rules. A targeted prompt could then be used to find redundancies: </w:t>
      </w:r>
      <w:r w:rsidDel="00000000" w:rsidR="00000000" w:rsidRPr="00000000">
        <w:rPr>
          <w:rFonts w:ascii="Google Sans Text" w:cs="Google Sans Text" w:eastAsia="Google Sans Text" w:hAnsi="Google Sans Text"/>
          <w:i w:val="1"/>
          <w:iCs w:val="1"/>
          <w:color w:val="1b1c1d"/>
          <w:rtl w:val="0"/>
        </w:rPr>
        <w:t xml:space="preserve">"Assume the persona of the owner of a small farm that is defined as a 'mixed-type facility' under FSMA. Based on the ingested texts of the Produce Safety Rule and the Preventive Controls for Human Food Rule, identify all record-keeping requirements related to water quality, sanitation procedures, and employee training. Present the results in a table with columns for 'Requirement', 'Governing Rule', and 'Required Documentation'. Highlight any instances where substantively similar information must be recorded or maintained in different formats or for different retention periods under each rule."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AI's output would provide a clear, actionable list of redundancies that a human analyst could then use to recommend streamlining the rules or providing consolidated guidance for small, mixed-type facilities, thereby reducing their compliance burden without compromising food safety.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Mapping and Measuring Process Complexity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simple duplication, procedural friction also arises from the sheer complexity of a compliance process. The number of steps, decision points, required documents, and interactions with different agencies all contribute to the overall burden. The logical flow maps generated in Phase 2 of the framework provide the raw data for a quantitative analysis of this complexity, addressing the general problem of overregulation that can stifle business growth.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approach mirrors the use of legal process mapping in the private sector to identify and simplify convoluted workflows.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a truly nuanced analysis of procedural friction must go beyond simply counting steps. The "cognitive load" imposed by a step—the mental effort required to understand and comply with it—is a more significant factor. A step with clear, simple instructions imposes a low load, while a step that requires interpreting ambiguous legal language or making a complex judgment call imposes a high load. These high-load steps are major sources of friction, leading to errors, non-compliance, and the need for expensive legal and consulting services.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LLMs possess a unique capability to estimate this cognitive load. Because they are trained on vast datasets of text, they have a sophisticated statistical model of language, which can be used to identify ambiguity, complexity, and vagueness.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After generating a process map, a follow-up prompt can be designed to assess the cognitive load of each step:</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"For each step in the previously generated compliance flowchart, analyze the language of the corresponding regulatory clause. Assign a 'Cognitive Load Score' from 1 (clear and simple) to 5 (highly ambiguous and complex). Justify the score by identifying specific words or phrases that create ambiguity, require external knowledge, or necessitate a subjective judgment. Flag all steps with a score of 4 or 5 as primary targets for simplification."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provides a much more sophisticated measure of "regulatory burden." Instead of just counting the number of rules, it identifies the </w:t>
      </w:r>
      <w:r w:rsidDel="00000000" w:rsidR="00000000" w:rsidRPr="00000000">
        <w:rPr>
          <w:rFonts w:ascii="Google Sans Text" w:cs="Google Sans Text" w:eastAsia="Google Sans Text" w:hAnsi="Google Sans Text"/>
          <w:i w:val="1"/>
          <w:iCs w:val="1"/>
          <w:color w:val="1b1c1d"/>
          <w:rtl w:val="0"/>
        </w:rPr>
        <w:t xml:space="preserve">most confusing</w:t>
      </w:r>
      <w:r w:rsidDel="00000000" w:rsidR="00000000" w:rsidRPr="00000000">
        <w:rPr>
          <w:rFonts w:ascii="Google Sans Text" w:cs="Google Sans Text" w:eastAsia="Google Sans Text" w:hAnsi="Google Sans Text"/>
          <w:color w:val="1b1c1d"/>
          <w:rtl w:val="0"/>
        </w:rPr>
        <w:t xml:space="preserve"> parts of the process. This allows regulatory agencies to target their simplification efforts with surgical precision, rewriting the most problematic sections to increase clarity, reduce errors, and promote higher rates of voluntary compliance.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Application II - Uncovering Regulatory Incoherence and Obsolescence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applies the framework to more profound and systemic failures within regulatory systems: logical contradiction and the persistence of outdated laws. These issues go beyond mere inefficiency and point to fundamental breakdowns in the legislative and rulemaking process, creating legal uncertainty and imposing costs for no public benefit.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Logical Auditing for Incoherence and Contradiction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Policy incoherence often arises from a siloed approach to policymaking, where different government bodies or legislative committees create rules without coordinating their objectives, resulting in a patchwork of conflicting mandates.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AI-powered framework can serve as a powerful logical auditor, systematically comparing obligations and prohibitions across a body of law to identify these contradictions. The goal is to detect situations like the previously mentioned CFPB dilemma, where a regulated entity is effectively placed in a position of unavoidable non-compliance with at least one mandate.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Case Study: The Patchwork of State Cottage Food Laws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regulation of "cottage foods"—food products made in a person's home for direct sale—is a prime example of regulatory incoherence at a national level. Every state has its own set of laws, which vary dramatically in their specifics, creating a confusing and contradictory landscape for small-scale food entrepreneurs.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Key points of divergence include annual sales caps, permissions for online or wholesale distribution, types of foods allowed, and specific labeling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audit this incoherence, the framework would be applied as follows. First, the LLM would ingest the relevant cottage food statutes and regulations from a selection of states. Then, a comparative analysis prompt would be deployed: "Ingest the cottage food laws for California </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Iowa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and Georgia.</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Create a comparative table with the following columns: 'State', 'Annual Sales Cap', 'Online Sales Permitted?', 'Wholesale Permitted?', and 'Labeling Requirement: "Uninspected Kitchen" Statement'. In a separate summary, identify the three most significant points of conflict and difference for an entrepreneur seeking to understand the national regulatory landscape. Explain how these differences could create legal and operational challenges for a business operating near state borders."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would not only highlight the inconsistencies but also explain their practical implications, providing a clear, evidence-based argument for harmonization or the creation of model legislation to reduce complexity and support small business development.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Operationalizing "Planned Abandonment"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framework provides a concrete methodology for implementing Drucker's principle of "planned abandonment" to combat policy cruft.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AI is tasked with systematically scanning the legal code to identify regulations that are strong candidates for repeal due to obsolescence. This automated, systematic process is essential because, as the continued existence of countless bizarre and outdated laws demonstrates, governments lack an effective internal mechanism for this kind of regular housekeeping.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The process involves prompting the AI to score regulations based on a set of indicators for obsolescence. A typical prompt might be: </w:t>
      </w:r>
      <w:r w:rsidDel="00000000" w:rsidR="00000000" w:rsidRPr="00000000">
        <w:rPr>
          <w:rFonts w:ascii="Google Sans Text" w:cs="Google Sans Text" w:eastAsia="Google Sans Text" w:hAnsi="Google Sans Text"/>
          <w:i w:val="1"/>
          <w:iCs w:val="1"/>
          <w:color w:val="1b1c1d"/>
          <w:rtl w:val="0"/>
        </w:rPr>
        <w:t xml:space="preserve">"Scan the United States Code for all statutes passed between 1920 and 1950 related to interstate commerce via railroads. For each statute, identify the primary technologies and business practices being regulated. Cross-reference these statutes with modern regulations from the Department of Transportation and the Surface Transportation Board. Flag any statutes that regulate obsolete technologies (e.g., steam locomotives, telegraphy for dispatch) and have not been substantively amended in the last 50 years as primary candidates for 'planned abandonment'."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However, a simple repeal can be risky. An obsolete law may have "ghost dependencies," where newer, still-relevant regulations incorporate it by reference. Repealing the old law without addressing these dependencies could have significant unintended consequences. The AI framework can mitigate this risk by adding a crucial second step to the analysis. Once a candidate for abandonment, Law A, is identified, a follow-up prompt is executed: </w:t>
      </w:r>
      <w:r w:rsidDel="00000000" w:rsidR="00000000" w:rsidRPr="00000000">
        <w:rPr>
          <w:rFonts w:ascii="Google Sans Text" w:cs="Google Sans Text" w:eastAsia="Google Sans Text" w:hAnsi="Google Sans Text"/>
          <w:i w:val="1"/>
          <w:iCs w:val="1"/>
          <w:color w:val="1b1c1d"/>
          <w:rtl w:val="0"/>
        </w:rPr>
        <w:t xml:space="preserve">"Scan the entire current Code of Federal Regulations for any explicit citations or references to [Law A]. List all regulations that would be textually or legally impacted by its repeal and describe the nature of the dependency."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additional step transforms the AI from a simple "finder" of obsolete laws into a strategic "risk assessment tool" for deregulation. It generates a dependency graph that allows legislators to perform a clean, surgical removal of policy cruft, ensuring that the process of reform is not only efficient but also safe and effective.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The Knowledge Worker in the Loop: Ensuring Responsible and Effective AI Oversight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the Drucker-RegLab paradigm is critically dependent on a clear-eyed understanding of the profound limitations of Large Language Models. This framework does not propose an automated system for regulatory reform; rather, it proposes a powerful new tool to be wielded by a skilled human expert. This final section addresses the inherent risks of using LLMs for high-stakes legal analysis and defines the essential, symbiotic relationship between the AI and the human analyst, who embodies the characteristics of Drucker's "knowledge worker."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Confronting the Limitations: Hallucination, Bias, and the Black Box</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LLMs cannot be trusted to perform legal analysis autonomously. Their underlying architecture is based on statistical pattern matching, not genuine reasoning or understanding of legal principles.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leads to several critical and well-documented failure modes that must be actively managed.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Hallucination:</w:t>
      </w:r>
      <w:r w:rsidDel="00000000" w:rsidR="00000000" w:rsidRPr="00000000">
        <w:rPr>
          <w:rFonts w:ascii="Google Sans Text" w:cs="Google Sans Text" w:eastAsia="Google Sans Text" w:hAnsi="Google Sans Text"/>
          <w:color w:val="1b1c1d"/>
          <w:rtl w:val="0"/>
        </w:rPr>
        <w:t xml:space="preserve"> The most significant risk is "hallucination," the tendency of LLMs to generate plausible-sounding but factually incorrect information. In the legal domain, this can manifest as fabricated case citations, misstated legal standards, or invented statutory language. Studies have shown that hallucination rates for legal queries can be alarmingly high, sometimes exceeding 75% for complex tasks like identifying a court's core holding.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makes independent verification of every substantive claim generated by an LLM a non-negotiable requirement.</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Bias:</w:t>
      </w:r>
      <w:r w:rsidDel="00000000" w:rsidR="00000000" w:rsidRPr="00000000">
        <w:rPr>
          <w:rFonts w:ascii="Google Sans Text" w:cs="Google Sans Text" w:eastAsia="Google Sans Text" w:hAnsi="Google Sans Text"/>
          <w:color w:val="1b1c1d"/>
          <w:rtl w:val="0"/>
        </w:rPr>
        <w:t xml:space="preserve"> LLMs are trained on vast corpora of text from the internet and other sources, which contain inherent societal biases related to race, gender, and other factors. These biases can be reproduced and amplified in the model's outputs, potentially leading to discriminatory analysis.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Furthermore, models exhibit other forms of bias. "Contrafactual bias" is the tendency to accept a false premise in a user's prompt and generate a coherent answer based on it, rather than correcting the user.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Models also show a bias towards more prominent, higher-court case law, performing poorly on the localized legal knowledge crucial for lower courts, which could create a misleading sense of legal consensus and undermine access to justice.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The Black Box Problem:</w:t>
      </w:r>
      <w:r w:rsidDel="00000000" w:rsidR="00000000" w:rsidRPr="00000000">
        <w:rPr>
          <w:rFonts w:ascii="Google Sans Text" w:cs="Google Sans Text" w:eastAsia="Google Sans Text" w:hAnsi="Google Sans Text"/>
          <w:color w:val="1b1c1d"/>
          <w:rtl w:val="0"/>
        </w:rPr>
        <w:t xml:space="preserve"> The decision-making process of large neural networks is often opaque, making it difficult to understand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a model produced a particular output. This lack of interpretability, or the "black box" problem, is a major challenge in high-stakes domains like law, where the reasoning behind a conclusion is as important as the conclusion itself.</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Human as Drucker's "Knowledge Worker": The Indispensable Role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mitigation of these risks falls to the human expert, whose role is elevated and redefined within this framework. This expert is not a passive operator but the active director of the analytical process, perfectly embodying Drucker's vision of the knowledge worker: an individual who applies theoretical and analytical knowledge to solve complex problems, who requires autonomy, and who is motivated by making a meaningful contribution.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productivity of this knowledge worker is enhanced by the AI, but their judgment remains supreme.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indispensable tasks of the regulatory knowledge worker in this loop include:</w:t>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Strategic Prompt Engineering:</w:t>
      </w:r>
      <w:r w:rsidDel="00000000" w:rsidR="00000000" w:rsidRPr="00000000">
        <w:rPr>
          <w:rFonts w:ascii="Google Sans Text" w:cs="Google Sans Text" w:eastAsia="Google Sans Text" w:hAnsi="Google Sans Text"/>
          <w:color w:val="1b1c1d"/>
          <w:rtl w:val="0"/>
        </w:rPr>
        <w:t xml:space="preserve"> The quality of the AI's output is entirely dependent on the quality of the input. The knowledge worker must craft the nuanced, context-rich, multi-step prompts that guide the AI's "thinking" process. This is a sophisticated skill that combines legal expertise with an intuitive understanding of the AI's capabilities and limitations.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Rigorous Output Verification:</w:t>
      </w:r>
      <w:r w:rsidDel="00000000" w:rsidR="00000000" w:rsidRPr="00000000">
        <w:rPr>
          <w:rFonts w:ascii="Google Sans Text" w:cs="Google Sans Text" w:eastAsia="Google Sans Text" w:hAnsi="Google Sans Text"/>
          <w:color w:val="1b1c1d"/>
          <w:rtl w:val="0"/>
        </w:rPr>
        <w:t xml:space="preserve"> The knowledge worker is responsible for the final accuracy of the analysis. Every fact, citation, and logical connection produced by the LLM must be treated as a hypothesis to be tested, not a conclusion to be accepted. This requires checking outputs against primary legal sources and rejecting any unverified or hallucinated information.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Nuance and Context Interpretation:</w:t>
      </w:r>
      <w:r w:rsidDel="00000000" w:rsidR="00000000" w:rsidRPr="00000000">
        <w:rPr>
          <w:rFonts w:ascii="Google Sans Text" w:cs="Google Sans Text" w:eastAsia="Google Sans Text" w:hAnsi="Google Sans Text"/>
          <w:color w:val="1b1c1d"/>
          <w:rtl w:val="0"/>
        </w:rPr>
        <w:t xml:space="preserve"> The text of a regulation exists within a broader political, economic, and social context that is invisible to the LLM. The knowledge worker must interpret the AI's text-based findings within this real-world context, applying judgment and domain expertise to understand the practical implications of procedural friction or regulatory incoherence.</w:t>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Ethical Oversight:</w:t>
      </w:r>
      <w:r w:rsidDel="00000000" w:rsidR="00000000" w:rsidRPr="00000000">
        <w:rPr>
          <w:rFonts w:ascii="Google Sans Text" w:cs="Google Sans Text" w:eastAsia="Google Sans Text" w:hAnsi="Google Sans Text"/>
          <w:color w:val="1b1c1d"/>
          <w:rtl w:val="0"/>
        </w:rPr>
        <w:t xml:space="preserve"> The knowledge worker serves as the ethical guardian of the process. They are responsible for identifying and correcting for bias in the AI's output and ensuring that the ultimate recommendations serve the public good, in line with Drucker's strong emphasis on the social and ethical responsibilities of leadership.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Final Judgment and Synthesis:</w:t>
      </w:r>
      <w:r w:rsidDel="00000000" w:rsidR="00000000" w:rsidRPr="00000000">
        <w:rPr>
          <w:rFonts w:ascii="Google Sans Text" w:cs="Google Sans Text" w:eastAsia="Google Sans Text" w:hAnsi="Google Sans Text"/>
          <w:color w:val="1b1c1d"/>
          <w:rtl w:val="0"/>
        </w:rPr>
        <w:t xml:space="preserve"> The AI can identify patterns and anomalies, but it cannot make a strategic decision or formulate a coherent policy recommendation. This is the exclusive domain of the human expert, who must synthesize the validated findings into a compelling narrative for reform. As Drucker warned, taking action without thinking is the cause of every failure; the knowledge worker provides the essential thinking.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this framework will therefore require the cultivation of a new, hybrid professional: the "Computational Policy Analyst." This individual must possess a unique blend of skills in law and public policy, management theory, and applied AI interaction. This is precisely the kind of interdisciplinary talent that institutions like the Stanford RegLab are designed to foster, bringing together lawyers, data scientists, and social scientists to solve complex governance challenges.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 future of effective regulatory reform will depend not on the power of AI alone, but on our ability to develop a new generation of knowledge workers who can expertly and ethically wield these powerful new tools.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Towards an Effective and Adaptive Regulatory Ecosystem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Drucker-RegLab paradigm presented in this report offers a powerful new approach to the persistent challenge of regulatory complexity. It moves beyond the traditional, often politically fraught, cycle of reactive reform by establishing a systematic, evidence-based methodology for auditing the health of our governing rules. By synthesizing the human-centric management wisdom of Peter Drucker with the computational power of modern AI, and guiding this synthesis with the practical, interdisciplinary ethos of the Stanford RegLab, this framework provides a viable path toward a more effective, adaptive, and trustworthy regulatory state.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argument of this analysis is that the combination of principled evaluation and technological leverage can transform the task of governance. The AI serves as a tireless analyst, deconstructing complex legal texts and mapping their internal logic at a scale and speed no human team could match. The Drucker principles provide a timeless and purpose-driven rubric for that analysis, shifting the focus from mere procedural compliance to the ultimate effectiveness of a regulation in achieving its public mission. Finally, the human knowledge worker stands at the center of the process, directing the inquiry, validating the results, and applying the uniquely human faculties of judgment, ethics, and strategic foresight.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a blueprint for deregulation, but for </w:t>
      </w:r>
      <w:r w:rsidDel="00000000" w:rsidR="00000000" w:rsidRPr="00000000">
        <w:rPr>
          <w:rFonts w:ascii="Google Sans Text" w:cs="Google Sans Text" w:eastAsia="Google Sans Text" w:hAnsi="Google Sans Text"/>
          <w:i w:val="1"/>
          <w:iCs w:val="1"/>
          <w:color w:val="1b1c1d"/>
          <w:rtl w:val="0"/>
        </w:rPr>
        <w:t xml:space="preserve">smarter</w:t>
      </w:r>
      <w:r w:rsidDel="00000000" w:rsidR="00000000" w:rsidRPr="00000000">
        <w:rPr>
          <w:rFonts w:ascii="Google Sans Text" w:cs="Google Sans Text" w:eastAsia="Google Sans Text" w:hAnsi="Google Sans Text"/>
          <w:color w:val="1b1c1d"/>
          <w:rtl w:val="0"/>
        </w:rPr>
        <w:t xml:space="preserve"> regulation. It is a method for pruning the dead wood of obsolescence to allow for healthy new growth, for resolving the logical contradictions that create uncertainty and risk, and for redesigning the processes of government to be more respectful of the time and intelligence of its citizens.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Actionable Recommendations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translate this paradigm from theory into practice, the following steps are recommended:</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Government Agencies:</w:t>
      </w:r>
      <w:r w:rsidDel="00000000" w:rsidR="00000000" w:rsidRPr="00000000">
        <w:rPr>
          <w:rFonts w:ascii="Google Sans Text" w:cs="Google Sans Text" w:eastAsia="Google Sans Text" w:hAnsi="Google Sans Text"/>
          <w:color w:val="1b1c1d"/>
          <w:rtl w:val="0"/>
        </w:rPr>
        <w:t xml:space="preserve"> Initiate pilot programs to apply this framework within a specific, well-defined regulatory domain. Areas such as environmental permitting, small business licensing, or public benefits administration, which are known for high levels of procedural friction, would be ideal candidates. The goal of these pilots should be to produce a public "Regulatory Effectiveness Audit" that identifies concrete targets for simplification and reform.</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Legislative Bodies:</w:t>
      </w:r>
      <w:r w:rsidDel="00000000" w:rsidR="00000000" w:rsidRPr="00000000">
        <w:rPr>
          <w:rFonts w:ascii="Google Sans Text" w:cs="Google Sans Text" w:eastAsia="Google Sans Text" w:hAnsi="Google Sans Text"/>
          <w:color w:val="1b1c1d"/>
          <w:rtl w:val="0"/>
        </w:rPr>
        <w:t xml:space="preserve"> Integrate the MBO and incoherence analysis tools into the legislative drafting process. Before a major bill is passed, it should be subjected to an AI-powered "coherence check" to identify potential conflicts with existing statutes. This would serve as a crucial quality control step, preventing the creation of new legal ambiguities that will inevitably lead to costly litigation and regulatory uncertainty.</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Think Tanks and Academia:</w:t>
      </w:r>
      <w:r w:rsidDel="00000000" w:rsidR="00000000" w:rsidRPr="00000000">
        <w:rPr>
          <w:rFonts w:ascii="Google Sans Text" w:cs="Google Sans Text" w:eastAsia="Google Sans Text" w:hAnsi="Google Sans Text"/>
          <w:color w:val="1b1c1d"/>
          <w:rtl w:val="0"/>
        </w:rPr>
        <w:t xml:space="preserve"> Further develop and refine the methodologies and metrics proposed in this report, particularly for quantifying procedural friction and scoring regulatory obsolescence. Crucially, academic institutions, especially law schools and schools of public policy, should begin developing curricula and training programs for the emerging "Computational Policy Analyst" role, equipping the next generation of public servants with the interdisciplinary skills needed to navigate the intersection of law, policy, and AI.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successful deployment of this framework can help fulfill one of the core responsibilities of leadership as envisioned by Drucker: to take responsibility for the common good.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making the machinery of government more logical, efficient, and oriented toward its purpose, we can enhance its performance, foster public trust, and build a regulatory ecosystem that is not a burden to be endured, but an effective platform for a prosperous and just society.</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Peter Drucker - Wikipedia, accessed September 8,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https://en.wikipedia.org/wiki/Peter_Drucker</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RegLab – Regulation, Evaluation, and Governance Lab, accessed September 8, 2025, </w:t>
      </w:r>
      <w:hyperlink r:id="rId7">
        <w:r w:rsidDel="00000000" w:rsidR="00000000" w:rsidRPr="00000000">
          <w:rPr>
            <w:rFonts w:ascii="Google Sans" w:cs="Google Sans" w:eastAsia="Google Sans" w:hAnsi="Google Sans"/>
            <w:color w:val="0000ee"/>
            <w:sz w:val="24"/>
            <w:szCs w:val="24"/>
            <w:u w:val="single"/>
            <w:rtl w:val="0"/>
          </w:rPr>
          <w:t xml:space="preserve">https://reglab.stanford.edu/</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www.panopto.com, accessed September 8, 2025, </w:t>
      </w:r>
      <w:hyperlink r:id="rId8">
        <w:r w:rsidDel="00000000" w:rsidR="00000000" w:rsidRPr="00000000">
          <w:rPr>
            <w:rFonts w:ascii="Google Sans" w:cs="Google Sans" w:eastAsia="Google Sans" w:hAnsi="Google Sans"/>
            <w:color w:val="0000ee"/>
            <w:sz w:val="24"/>
            <w:szCs w:val="24"/>
            <w:u w:val="single"/>
            <w:rtl w:val="0"/>
          </w:rPr>
          <w:t xml:space="preserve">https://www.panopto.com/blog/what-is-a-knowledge-worker/#:~:text=More%20than%2050%20years%20ago,as%20a%20%E2%80%9Cknowledge%20worker.%E2%80%9D</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Hallucinating Law: Legal Mistakes with Large ... - Stanford HAI, accessed September 8, 2025, </w:t>
      </w:r>
      <w:hyperlink r:id="rId9">
        <w:r w:rsidDel="00000000" w:rsidR="00000000" w:rsidRPr="00000000">
          <w:rPr>
            <w:rFonts w:ascii="Google Sans" w:cs="Google Sans" w:eastAsia="Google Sans" w:hAnsi="Google Sans"/>
            <w:color w:val="0000ee"/>
            <w:sz w:val="24"/>
            <w:szCs w:val="24"/>
            <w:u w:val="single"/>
            <w:rtl w:val="0"/>
          </w:rPr>
          <w:t xml:space="preserve">https://hai.stanford.edu/news/hallucinating-law-legal-mistakes-large-language-models-are-pervasive</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vs. efficiency – Let's not confuse the two Management author and guru, Peter Drucker said, "Efficiency is, accessed September 8, 2025, </w:t>
      </w:r>
      <w:hyperlink r:id="rId10">
        <w:r w:rsidDel="00000000" w:rsidR="00000000" w:rsidRPr="00000000">
          <w:rPr>
            <w:rFonts w:ascii="Google Sans" w:cs="Google Sans" w:eastAsia="Google Sans" w:hAnsi="Google Sans"/>
            <w:color w:val="0000ee"/>
            <w:sz w:val="24"/>
            <w:szCs w:val="24"/>
            <w:u w:val="single"/>
            <w:rtl w:val="0"/>
          </w:rPr>
          <w:t xml:space="preserve">https://intranet.engineering.ucdavis.edu/sites/g/files/dgvnsk9601/files/inline-files/Effectiveness-vs.-efficiency-%E2%80%93-Let%E2%80%99s-not-confuse-the-two-1.pdf</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Efficiency Vs Effectiveness by Peter Drucker for organizations - Graphream, accessed September 8, 2025, </w:t>
      </w:r>
      <w:hyperlink r:id="rId11">
        <w:r w:rsidDel="00000000" w:rsidR="00000000" w:rsidRPr="00000000">
          <w:rPr>
            <w:rFonts w:ascii="Google Sans" w:cs="Google Sans" w:eastAsia="Google Sans" w:hAnsi="Google Sans"/>
            <w:color w:val="0000ee"/>
            <w:sz w:val="24"/>
            <w:szCs w:val="24"/>
            <w:u w:val="single"/>
            <w:rtl w:val="0"/>
          </w:rPr>
          <w:t xml:space="preserve">https://www.graphream.com/blog/efficiency-vs-effectiveness-by-peter-drucker-for-organizations%7C17127</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Classic: Corporate Inefficiency, Compliance vs. Management - Tom Spears, accessed September 8, 2025, </w:t>
      </w:r>
      <w:hyperlink r:id="rId12">
        <w:r w:rsidDel="00000000" w:rsidR="00000000" w:rsidRPr="00000000">
          <w:rPr>
            <w:rFonts w:ascii="Google Sans" w:cs="Google Sans" w:eastAsia="Google Sans" w:hAnsi="Google Sans"/>
            <w:color w:val="0000ee"/>
            <w:sz w:val="24"/>
            <w:szCs w:val="24"/>
            <w:u w:val="single"/>
            <w:rtl w:val="0"/>
          </w:rPr>
          <w:t xml:space="preserve">https://tomspears.com/corporate-politics/2015/4/27/classic-corporate-inefficiency-compliance-vs-management-1</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Knowledgebase -Peter Drucker's 5 operations of management | The ExP Group, accessed September 8, 2025, </w:t>
      </w:r>
      <w:hyperlink r:id="rId13">
        <w:r w:rsidDel="00000000" w:rsidR="00000000" w:rsidRPr="00000000">
          <w:rPr>
            <w:rFonts w:ascii="Google Sans" w:cs="Google Sans" w:eastAsia="Google Sans" w:hAnsi="Google Sans"/>
            <w:color w:val="0000ee"/>
            <w:sz w:val="24"/>
            <w:szCs w:val="24"/>
            <w:u w:val="single"/>
            <w:rtl w:val="0"/>
          </w:rPr>
          <w:t xml:space="preserve">https://www.theexpgroup.com/knowledge-base/peter-druckers-5-operations-of-management/</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Ranking Company Effectiveness - The Drucker Institute, accessed September 8, 2025, </w:t>
      </w:r>
      <w:hyperlink r:id="rId14">
        <w:r w:rsidDel="00000000" w:rsidR="00000000" w:rsidRPr="00000000">
          <w:rPr>
            <w:rFonts w:ascii="Google Sans" w:cs="Google Sans" w:eastAsia="Google Sans" w:hAnsi="Google Sans"/>
            <w:color w:val="0000ee"/>
            <w:sz w:val="24"/>
            <w:szCs w:val="24"/>
            <w:u w:val="single"/>
            <w:rtl w:val="0"/>
          </w:rPr>
          <w:t xml:space="preserve">https://drucker.institute/ranking-company-effectiveness/</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Overregulation Is Crippling Business, Getting Regulations Right Is the Key to Growth, accessed September 8, 2025, </w:t>
      </w:r>
      <w:hyperlink r:id="rId15">
        <w:r w:rsidDel="00000000" w:rsidR="00000000" w:rsidRPr="00000000">
          <w:rPr>
            <w:rFonts w:ascii="Google Sans" w:cs="Google Sans" w:eastAsia="Google Sans" w:hAnsi="Google Sans"/>
            <w:color w:val="0000ee"/>
            <w:sz w:val="24"/>
            <w:szCs w:val="24"/>
            <w:u w:val="single"/>
            <w:rtl w:val="0"/>
          </w:rPr>
          <w:t xml:space="preserve">https://www.uschamber.com/improving-government/overregulation-is-crippling-business-getting-regulations-right-is-the-key-to-growth</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Index: Regulatory compliance hinders growth - U.S. Chamber of Commerce, accessed September 8, 2025, </w:t>
      </w:r>
      <w:hyperlink r:id="rId16">
        <w:r w:rsidDel="00000000" w:rsidR="00000000" w:rsidRPr="00000000">
          <w:rPr>
            <w:rFonts w:ascii="Google Sans" w:cs="Google Sans" w:eastAsia="Google Sans" w:hAnsi="Google Sans"/>
            <w:color w:val="0000ee"/>
            <w:sz w:val="24"/>
            <w:szCs w:val="24"/>
            <w:u w:val="single"/>
            <w:rtl w:val="0"/>
          </w:rPr>
          <w:t xml:space="preserve">https://www.uschamber.com/small-business/a-majority-of-small-businesses-say-regulations-are-hindering-growth</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P.F. Drucker &amp; Peter Drucker Management Theory | MBO &amp; Knowledge Worker, accessed September 8, 2025, </w:t>
      </w:r>
      <w:hyperlink r:id="rId17">
        <w:r w:rsidDel="00000000" w:rsidR="00000000" w:rsidRPr="00000000">
          <w:rPr>
            <w:rFonts w:ascii="Google Sans" w:cs="Google Sans" w:eastAsia="Google Sans" w:hAnsi="Google Sans"/>
            <w:color w:val="0000ee"/>
            <w:sz w:val="24"/>
            <w:szCs w:val="24"/>
            <w:u w:val="single"/>
            <w:rtl w:val="0"/>
          </w:rPr>
          <w:t xml:space="preserve">https://www.business.com/articles/management-theory-of-peter-drucker/</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Peter Drucker's Management Theory? - Business News Daily, accessed September 8, 2025, </w:t>
      </w:r>
      <w:hyperlink r:id="rId18">
        <w:r w:rsidDel="00000000" w:rsidR="00000000" w:rsidRPr="00000000">
          <w:rPr>
            <w:rFonts w:ascii="Google Sans" w:cs="Google Sans" w:eastAsia="Google Sans" w:hAnsi="Google Sans"/>
            <w:color w:val="0000ee"/>
            <w:sz w:val="24"/>
            <w:szCs w:val="24"/>
            <w:u w:val="single"/>
            <w:rtl w:val="0"/>
          </w:rPr>
          <w:t xml:space="preserve">https://www.businessnewsdaily.com/10634-peter-drucker-management-theory.html</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Implications of Policy Incoherence? - ESG → Sustainability Directory, accessed September 8, 2025, </w:t>
      </w:r>
      <w:hyperlink r:id="rId19">
        <w:r w:rsidDel="00000000" w:rsidR="00000000" w:rsidRPr="00000000">
          <w:rPr>
            <w:rFonts w:ascii="Google Sans" w:cs="Google Sans" w:eastAsia="Google Sans" w:hAnsi="Google Sans"/>
            <w:color w:val="0000ee"/>
            <w:sz w:val="24"/>
            <w:szCs w:val="24"/>
            <w:u w:val="single"/>
            <w:rtl w:val="0"/>
          </w:rPr>
          <w:t xml:space="preserve">https://esg.sustainability-directory.com/question/what-are-the-implications-of-policy-incoherence/</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Decoherence . . . Or Incoherence? - Law &amp; Liberty, accessed September 8, 2025, </w:t>
      </w:r>
      <w:hyperlink r:id="rId20">
        <w:r w:rsidDel="00000000" w:rsidR="00000000" w:rsidRPr="00000000">
          <w:rPr>
            <w:rFonts w:ascii="Google Sans" w:cs="Google Sans" w:eastAsia="Google Sans" w:hAnsi="Google Sans"/>
            <w:color w:val="0000ee"/>
            <w:sz w:val="24"/>
            <w:szCs w:val="24"/>
            <w:u w:val="single"/>
            <w:rtl w:val="0"/>
          </w:rPr>
          <w:t xml:space="preserve">https://lawliberty.org/forum/decoherence-or-incoherence/</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Peter Drucker: The Rules of Effectiveness - WYLD Leadership, accessed September 8, 2025, </w:t>
      </w:r>
      <w:hyperlink r:id="rId21">
        <w:r w:rsidDel="00000000" w:rsidR="00000000" w:rsidRPr="00000000">
          <w:rPr>
            <w:rFonts w:ascii="Google Sans" w:cs="Google Sans" w:eastAsia="Google Sans" w:hAnsi="Google Sans"/>
            <w:color w:val="0000ee"/>
            <w:sz w:val="24"/>
            <w:szCs w:val="24"/>
            <w:u w:val="single"/>
            <w:rtl w:val="0"/>
          </w:rPr>
          <w:t xml:space="preserve">https://www.wyldleadership.com/peter-drucker-the-rules-of-effectiveness/</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 The Drucker Institute, accessed September 8, 2025, </w:t>
      </w:r>
      <w:hyperlink r:id="rId22">
        <w:r w:rsidDel="00000000" w:rsidR="00000000" w:rsidRPr="00000000">
          <w:rPr>
            <w:rFonts w:ascii="Google Sans" w:cs="Google Sans" w:eastAsia="Google Sans" w:hAnsi="Google Sans"/>
            <w:color w:val="0000ee"/>
            <w:sz w:val="24"/>
            <w:szCs w:val="24"/>
            <w:u w:val="single"/>
            <w:rtl w:val="0"/>
          </w:rPr>
          <w:t xml:space="preserve">https://drucker.institute/principles/</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Dumb Laws (List) - Forest Grove Elementary, accessed September 8, 2025, </w:t>
      </w:r>
      <w:hyperlink r:id="rId23">
        <w:r w:rsidDel="00000000" w:rsidR="00000000" w:rsidRPr="00000000">
          <w:rPr>
            <w:rFonts w:ascii="Google Sans" w:cs="Google Sans" w:eastAsia="Google Sans" w:hAnsi="Google Sans"/>
            <w:color w:val="0000ee"/>
            <w:sz w:val="24"/>
            <w:szCs w:val="24"/>
            <w:u w:val="single"/>
            <w:rtl w:val="0"/>
          </w:rPr>
          <w:t xml:space="preserve">https://forestgrove.pgusd.org/documents/Computer-Lab/Strange-State-Laws.pdf</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Weird Laws in the US You Won't Believe Exist - RunSensible, accessed September 8, 2025, </w:t>
      </w:r>
      <w:hyperlink r:id="rId24">
        <w:r w:rsidDel="00000000" w:rsidR="00000000" w:rsidRPr="00000000">
          <w:rPr>
            <w:rFonts w:ascii="Google Sans" w:cs="Google Sans" w:eastAsia="Google Sans" w:hAnsi="Google Sans"/>
            <w:color w:val="0000ee"/>
            <w:sz w:val="24"/>
            <w:szCs w:val="24"/>
            <w:u w:val="single"/>
            <w:rtl w:val="0"/>
          </w:rPr>
          <w:t xml:space="preserve">https://www.runsensible.com/blog/weird-laws-in-the-us/</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Rationale for Regulatory Intervention - CFA, FRM, and Actuarial Exams Study Notes - AnalystPrep, accessed September 8, 2025, </w:t>
      </w:r>
      <w:hyperlink r:id="rId25">
        <w:r w:rsidDel="00000000" w:rsidR="00000000" w:rsidRPr="00000000">
          <w:rPr>
            <w:rFonts w:ascii="Google Sans" w:cs="Google Sans" w:eastAsia="Google Sans" w:hAnsi="Google Sans"/>
            <w:color w:val="0000ee"/>
            <w:sz w:val="24"/>
            <w:szCs w:val="24"/>
            <w:u w:val="single"/>
            <w:rtl w:val="0"/>
          </w:rPr>
          <w:t xml:space="preserve">https://analystprep.com/study-notes/cfa-level-2/economic-rationale-for-regulatory-intervention/</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Relevance of Peter Drucker's Management Philosophy in Today's World - Thinkers50, accessed September 8, 2025, </w:t>
      </w:r>
      <w:hyperlink r:id="rId26">
        <w:r w:rsidDel="00000000" w:rsidR="00000000" w:rsidRPr="00000000">
          <w:rPr>
            <w:rFonts w:ascii="Google Sans" w:cs="Google Sans" w:eastAsia="Google Sans" w:hAnsi="Google Sans"/>
            <w:color w:val="0000ee"/>
            <w:sz w:val="24"/>
            <w:szCs w:val="24"/>
            <w:u w:val="single"/>
            <w:rtl w:val="0"/>
          </w:rPr>
          <w:t xml:space="preserve">https://thinkers50.com/blog/relevance-peter-druckers-management-philosophy-todays-world/</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Knowledge Work: What Drucker can teach us By Karen Linkletter, accessed September 8, 2025, </w:t>
      </w:r>
      <w:hyperlink r:id="rId27">
        <w:r w:rsidDel="00000000" w:rsidR="00000000" w:rsidRPr="00000000">
          <w:rPr>
            <w:rFonts w:ascii="Google Sans" w:cs="Google Sans" w:eastAsia="Google Sans" w:hAnsi="Google Sans"/>
            <w:color w:val="0000ee"/>
            <w:sz w:val="24"/>
            <w:szCs w:val="24"/>
            <w:u w:val="single"/>
            <w:rtl w:val="0"/>
          </w:rPr>
          <w:t xml:space="preserve">https://www.druckerforum.org/blog/the-future-of-knowledge-work-what-drucker-can-teach-usby-karen-linkletter/</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Workers - Definition, What They Do, Who - Corporate Finance Institute, accessed September 8, 2025, </w:t>
      </w:r>
      <w:hyperlink r:id="rId28">
        <w:r w:rsidDel="00000000" w:rsidR="00000000" w:rsidRPr="00000000">
          <w:rPr>
            <w:rFonts w:ascii="Google Sans" w:cs="Google Sans" w:eastAsia="Google Sans" w:hAnsi="Google Sans"/>
            <w:color w:val="0000ee"/>
            <w:sz w:val="24"/>
            <w:szCs w:val="24"/>
            <w:u w:val="single"/>
            <w:rtl w:val="0"/>
          </w:rPr>
          <w:t xml:space="preserve">https://corporatefinanceinstitute.com/resources/valuation/knowledge-workers/</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Motivates the Modern Worker? Peter Drucker on Leading Millennials, accessed September 8, 2025, </w:t>
      </w:r>
      <w:hyperlink r:id="rId29">
        <w:r w:rsidDel="00000000" w:rsidR="00000000" w:rsidRPr="00000000">
          <w:rPr>
            <w:rFonts w:ascii="Google Sans" w:cs="Google Sans" w:eastAsia="Google Sans" w:hAnsi="Google Sans"/>
            <w:color w:val="0000ee"/>
            <w:sz w:val="24"/>
            <w:szCs w:val="24"/>
            <w:u w:val="single"/>
            <w:rtl w:val="0"/>
          </w:rPr>
          <w:t xml:space="preserve">https://www.corporatelearningnetwork.com/leadership/articles/what-motivates-the-modern-worker-peter-drucker-on-leading-millennials</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FSMA and the Produce Safety Rule: Does the rule apply to me? | UMN Extension, accessed September 8, 2025, </w:t>
      </w:r>
      <w:hyperlink r:id="rId30">
        <w:r w:rsidDel="00000000" w:rsidR="00000000" w:rsidRPr="00000000">
          <w:rPr>
            <w:rFonts w:ascii="Google Sans" w:cs="Google Sans" w:eastAsia="Google Sans" w:hAnsi="Google Sans"/>
            <w:color w:val="0000ee"/>
            <w:sz w:val="24"/>
            <w:szCs w:val="24"/>
            <w:u w:val="single"/>
            <w:rtl w:val="0"/>
          </w:rPr>
          <w:t xml:space="preserve">https://extension.umn.edu/growing-safe-food/fsma-and-produce-safety-rule-does-rule-apply-me</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FSMA Final Rule on Produce Safety | FDA, accessed September 8, 2025, </w:t>
      </w:r>
      <w:hyperlink r:id="rId31">
        <w:r w:rsidDel="00000000" w:rsidR="00000000" w:rsidRPr="00000000">
          <w:rPr>
            <w:rFonts w:ascii="Google Sans" w:cs="Google Sans" w:eastAsia="Google Sans" w:hAnsi="Google Sans"/>
            <w:color w:val="0000ee"/>
            <w:sz w:val="24"/>
            <w:szCs w:val="24"/>
            <w:u w:val="single"/>
            <w:rtl w:val="0"/>
          </w:rPr>
          <w:t xml:space="preserve">https://www.fda.gov/food/food-safety-modernization-act-fsma/fsma-final-rule-produce-safety</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NLP to Model U.S. Supreme Court Cases - SMU Scholar, accessed September 8, 2025, </w:t>
      </w:r>
      <w:hyperlink r:id="rId32">
        <w:r w:rsidDel="00000000" w:rsidR="00000000" w:rsidRPr="00000000">
          <w:rPr>
            <w:rFonts w:ascii="Google Sans" w:cs="Google Sans" w:eastAsia="Google Sans" w:hAnsi="Google Sans"/>
            <w:color w:val="0000ee"/>
            <w:sz w:val="24"/>
            <w:szCs w:val="24"/>
            <w:u w:val="single"/>
            <w:rtl w:val="0"/>
          </w:rPr>
          <w:t xml:space="preserve">https://scholar.smu.edu/cgi/viewcontent.cgi?article=1242&amp;context=datasciencereview</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legal prompt engineering in generative AI, Isabel Parker, Michal Morrison, accessed September 8, 2025, </w:t>
      </w:r>
      <w:hyperlink r:id="rId33">
        <w:r w:rsidDel="00000000" w:rsidR="00000000" w:rsidRPr="00000000">
          <w:rPr>
            <w:rFonts w:ascii="Google Sans" w:cs="Google Sans" w:eastAsia="Google Sans" w:hAnsi="Google Sans"/>
            <w:color w:val="0000ee"/>
            <w:sz w:val="24"/>
            <w:szCs w:val="24"/>
            <w:u w:val="single"/>
            <w:rtl w:val="0"/>
          </w:rPr>
          <w:t xml:space="preserve">https://legalbriefs.deloitte.com/post/102iwka/introduction-to-legal-prompt-engineering-in-generative-ai</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Semantic NLP-Based Information Extraction from Construction Regulatory Documents for Automated Compliance Checking - ResearchGate, accessed September 8,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https://www.researchgate.net/publication/273024453_Semantic_NLP-Based_Information_Extraction_from_Construction_Regulatory_Documents_for_Automated_Compliance_Checking</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Workflows: Mapping Out Your Corporate Legal Processes - Morae Global Corporation, accessed September 8, 2025, </w:t>
      </w:r>
      <w:hyperlink r:id="rId35">
        <w:r w:rsidDel="00000000" w:rsidR="00000000" w:rsidRPr="00000000">
          <w:rPr>
            <w:rFonts w:ascii="Google Sans" w:cs="Google Sans" w:eastAsia="Google Sans" w:hAnsi="Google Sans"/>
            <w:color w:val="0000ee"/>
            <w:sz w:val="24"/>
            <w:szCs w:val="24"/>
            <w:u w:val="single"/>
            <w:rtl w:val="0"/>
          </w:rPr>
          <w:t xml:space="preserve">https://www.morae.com/insights/workflows-mapping-out-your-current-legal-process/</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Streamline Legal Operations through Efficient Process Mapping - KorumLegal, accessed September 8, 2025, </w:t>
      </w:r>
      <w:hyperlink r:id="rId36">
        <w:r w:rsidDel="00000000" w:rsidR="00000000" w:rsidRPr="00000000">
          <w:rPr>
            <w:rFonts w:ascii="Google Sans" w:cs="Google Sans" w:eastAsia="Google Sans" w:hAnsi="Google Sans"/>
            <w:color w:val="0000ee"/>
            <w:sz w:val="24"/>
            <w:szCs w:val="24"/>
            <w:u w:val="single"/>
            <w:rtl w:val="0"/>
          </w:rPr>
          <w:t xml:space="preserve">https://www.korumlegal.com/blog/what-is-process-mapping-and-how-can-it-help</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Out Your Current Legal Process - Morae Global Corporation, accessed September 8, 2025, </w:t>
      </w:r>
      <w:hyperlink r:id="rId37">
        <w:r w:rsidDel="00000000" w:rsidR="00000000" w:rsidRPr="00000000">
          <w:rPr>
            <w:rFonts w:ascii="Google Sans" w:cs="Google Sans" w:eastAsia="Google Sans" w:hAnsi="Google Sans"/>
            <w:color w:val="0000ee"/>
            <w:sz w:val="24"/>
            <w:szCs w:val="24"/>
            <w:u w:val="single"/>
            <w:rtl w:val="0"/>
          </w:rPr>
          <w:t xml:space="preserve">https://www.morae.com/insights/mapping-out-your-current-legal-process/?source=exigent</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the Work Out of Your Legal Workflow, accessed September 8, 2025, </w:t>
      </w:r>
      <w:hyperlink r:id="rId38">
        <w:r w:rsidDel="00000000" w:rsidR="00000000" w:rsidRPr="00000000">
          <w:rPr>
            <w:rFonts w:ascii="Google Sans" w:cs="Google Sans" w:eastAsia="Google Sans" w:hAnsi="Google Sans"/>
            <w:color w:val="0000ee"/>
            <w:sz w:val="24"/>
            <w:szCs w:val="24"/>
            <w:u w:val="single"/>
            <w:rtl w:val="0"/>
          </w:rPr>
          <w:t xml:space="preserve">https://www.attorneyatwork.com/how-to-take-the-work-out-of-your-workflow/</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the Law: Methods for Mapping the Legal Landscape and Drawing Analogies, accessed September 8, 2025, </w:t>
      </w:r>
      <w:hyperlink r:id="rId39">
        <w:r w:rsidDel="00000000" w:rsidR="00000000" w:rsidRPr="00000000">
          <w:rPr>
            <w:rFonts w:ascii="Google Sans" w:cs="Google Sans" w:eastAsia="Google Sans" w:hAnsi="Google Sans"/>
            <w:color w:val="0000ee"/>
            <w:sz w:val="24"/>
            <w:szCs w:val="24"/>
            <w:u w:val="single"/>
            <w:rtl w:val="0"/>
          </w:rPr>
          <w:t xml:space="preserve">https://digitalcommons.law.uw.edu/cgi/viewcontent.cgi?article=4227&amp;context=wlr</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Legal Prompt Engineering - Brightflag, accessed September 8, 2025, </w:t>
      </w:r>
      <w:hyperlink r:id="rId40">
        <w:r w:rsidDel="00000000" w:rsidR="00000000" w:rsidRPr="00000000">
          <w:rPr>
            <w:rFonts w:ascii="Google Sans" w:cs="Google Sans" w:eastAsia="Google Sans" w:hAnsi="Google Sans"/>
            <w:color w:val="0000ee"/>
            <w:sz w:val="24"/>
            <w:szCs w:val="24"/>
            <w:u w:val="single"/>
            <w:rtl w:val="0"/>
          </w:rPr>
          <w:t xml:space="preserve">https://brightflag.com/resources/legal-prompt-engineering/</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legal prompt engineering - Juro, accessed September 8, 2025, </w:t>
      </w:r>
      <w:hyperlink r:id="rId41">
        <w:r w:rsidDel="00000000" w:rsidR="00000000" w:rsidRPr="00000000">
          <w:rPr>
            <w:rFonts w:ascii="Google Sans" w:cs="Google Sans" w:eastAsia="Google Sans" w:hAnsi="Google Sans"/>
            <w:color w:val="0000ee"/>
            <w:sz w:val="24"/>
            <w:szCs w:val="24"/>
            <w:u w:val="single"/>
            <w:rtl w:val="0"/>
          </w:rPr>
          <w:t xml:space="preserve">https://juro.com/learn/legal-prompt-engineering</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the best of GenAI: How to use prompt engineering - Thomson Reuters Institute, accessed September 8, 2025, </w:t>
      </w:r>
      <w:hyperlink r:id="rId42">
        <w:r w:rsidDel="00000000" w:rsidR="00000000" w:rsidRPr="00000000">
          <w:rPr>
            <w:rFonts w:ascii="Google Sans" w:cs="Google Sans" w:eastAsia="Google Sans" w:hAnsi="Google Sans"/>
            <w:color w:val="0000ee"/>
            <w:sz w:val="24"/>
            <w:szCs w:val="24"/>
            <w:u w:val="single"/>
            <w:rtl w:val="0"/>
          </w:rPr>
          <w:t xml:space="preserve">https://www.thomsonreuters.com/en-us/posts/ai-in-courts/prompt-engineering/</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Incoherent Requirements in Large Documents, accessed September 8, 2025, </w:t>
      </w:r>
      <w:hyperlink r:id="rId43">
        <w:r w:rsidDel="00000000" w:rsidR="00000000" w:rsidRPr="00000000">
          <w:rPr>
            <w:rFonts w:ascii="Google Sans" w:cs="Google Sans" w:eastAsia="Google Sans" w:hAnsi="Google Sans"/>
            <w:color w:val="0000ee"/>
            <w:sz w:val="24"/>
            <w:szCs w:val="24"/>
            <w:u w:val="single"/>
            <w:rtl w:val="0"/>
          </w:rPr>
          <w:t xml:space="preserve">https://re-magazine.ireb.org/articles/detecting-incoherent-requirements-in-large-documents-experiments-and-user-evaluation</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Citizens' Voice: Ease Regulatory Burdens on Small Businesses, accessed September 8, 2025, </w:t>
      </w:r>
      <w:hyperlink r:id="rId44">
        <w:r w:rsidDel="00000000" w:rsidR="00000000" w:rsidRPr="00000000">
          <w:rPr>
            <w:rFonts w:ascii="Google Sans" w:cs="Google Sans" w:eastAsia="Google Sans" w:hAnsi="Google Sans"/>
            <w:color w:val="0000ee"/>
            <w:sz w:val="24"/>
            <w:szCs w:val="24"/>
            <w:u w:val="single"/>
            <w:rtl w:val="0"/>
          </w:rPr>
          <w:t xml:space="preserve">https://financialservices.house.gov/news/documentsingle.aspx?DocumentID=409732</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turbocharge government regulatory operations - Deloitte, accessed September 8, 2025, </w:t>
      </w:r>
      <w:hyperlink r:id="rId45">
        <w:r w:rsidDel="00000000" w:rsidR="00000000" w:rsidRPr="00000000">
          <w:rPr>
            <w:rFonts w:ascii="Google Sans" w:cs="Google Sans" w:eastAsia="Google Sans" w:hAnsi="Google Sans"/>
            <w:color w:val="0000ee"/>
            <w:sz w:val="24"/>
            <w:szCs w:val="24"/>
            <w:u w:val="single"/>
            <w:rtl w:val="0"/>
          </w:rPr>
          <w:t xml:space="preserve">https://www.deloitte.com/us/en/insights/industry/government-public-sector-services/automation-and-generative-ai-in-government/use-of-generative-ai-in-government-to-transform-regulatory-operations.html</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Safety Modernization Act (FSMA) - FDA, accessed September 8, 2025, </w:t>
      </w:r>
      <w:hyperlink r:id="rId46">
        <w:r w:rsidDel="00000000" w:rsidR="00000000" w:rsidRPr="00000000">
          <w:rPr>
            <w:rFonts w:ascii="Google Sans" w:cs="Google Sans" w:eastAsia="Google Sans" w:hAnsi="Google Sans"/>
            <w:color w:val="0000ee"/>
            <w:sz w:val="24"/>
            <w:szCs w:val="24"/>
            <w:u w:val="single"/>
            <w:rtl w:val="0"/>
          </w:rPr>
          <w:t xml:space="preserve">https://www.fda.gov/food/guidance-regulation-food-and-dietary-supplements/food-safety-modernization-act-fsma</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Safety Modernization Act - Department of Agriculture and Markets - NY.Gov, accessed September 8, 2025, </w:t>
      </w:r>
      <w:hyperlink r:id="rId47">
        <w:r w:rsidDel="00000000" w:rsidR="00000000" w:rsidRPr="00000000">
          <w:rPr>
            <w:rFonts w:ascii="Google Sans" w:cs="Google Sans" w:eastAsia="Google Sans" w:hAnsi="Google Sans"/>
            <w:color w:val="0000ee"/>
            <w:sz w:val="24"/>
            <w:szCs w:val="24"/>
            <w:u w:val="single"/>
            <w:rtl w:val="0"/>
          </w:rPr>
          <w:t xml:space="preserve">https://agriculture.ny.gov/food-safety/food-safety-modernization-act</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LLMs handle ambiguity in language? - Milvus, accessed September 8, 2025, </w:t>
      </w:r>
      <w:hyperlink r:id="rId48">
        <w:r w:rsidDel="00000000" w:rsidR="00000000" w:rsidRPr="00000000">
          <w:rPr>
            <w:rFonts w:ascii="Google Sans" w:cs="Google Sans" w:eastAsia="Google Sans" w:hAnsi="Google Sans"/>
            <w:color w:val="0000ee"/>
            <w:sz w:val="24"/>
            <w:szCs w:val="24"/>
            <w:u w:val="single"/>
            <w:rtl w:val="0"/>
          </w:rPr>
          <w:t xml:space="preserve">https://milvus.io/ai-quick-reference/can-llms-handle-ambiguity-in-language</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Large Language Models to Understand Ordinary Meanings in Legal Texts: Some Early Judicial and Scholarly Experiments | American Enterprise Institute, accessed September 8, 2025, </w:t>
      </w:r>
      <w:hyperlink r:id="rId49">
        <w:r w:rsidDel="00000000" w:rsidR="00000000" w:rsidRPr="00000000">
          <w:rPr>
            <w:rFonts w:ascii="Google Sans" w:cs="Google Sans" w:eastAsia="Google Sans" w:hAnsi="Google Sans"/>
            <w:color w:val="0000ee"/>
            <w:sz w:val="24"/>
            <w:szCs w:val="24"/>
            <w:u w:val="single"/>
            <w:rtl w:val="0"/>
          </w:rPr>
          <w:t xml:space="preserve">https://www.aei.org/research-products/report/using-large-language-models-to-understand-ordinary-meanings-in-legal-texts-some-early-judicial-and-scholarly-experiments/</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Agencies Keeping Cottage Foods Safe - ASTHO, accessed September 8, 2025, </w:t>
      </w:r>
      <w:hyperlink r:id="rId50">
        <w:r w:rsidDel="00000000" w:rsidR="00000000" w:rsidRPr="00000000">
          <w:rPr>
            <w:rFonts w:ascii="Google Sans" w:cs="Google Sans" w:eastAsia="Google Sans" w:hAnsi="Google Sans"/>
            <w:color w:val="0000ee"/>
            <w:sz w:val="24"/>
            <w:szCs w:val="24"/>
            <w:u w:val="single"/>
            <w:rtl w:val="0"/>
          </w:rPr>
          <w:t xml:space="preserve">https://www.astho.org/communications/blog/health-agencies-keeping-cottage-foods-safe/</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Cottage Food Law: A Guide to All 50 States - Castiron Marketplace, accessed September 8, 2025, </w:t>
      </w:r>
      <w:hyperlink r:id="rId51">
        <w:r w:rsidDel="00000000" w:rsidR="00000000" w:rsidRPr="00000000">
          <w:rPr>
            <w:rFonts w:ascii="Google Sans" w:cs="Google Sans" w:eastAsia="Google Sans" w:hAnsi="Google Sans"/>
            <w:color w:val="0000ee"/>
            <w:sz w:val="24"/>
            <w:szCs w:val="24"/>
            <w:u w:val="single"/>
            <w:rtl w:val="0"/>
          </w:rPr>
          <w:t xml:space="preserve">https://www.shopcastiron.com/seller/cottage-food-law</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Cottage Food Operation - Washington State Department of Agriculture, accessed September 8, 2025, </w:t>
      </w:r>
      <w:hyperlink r:id="rId52">
        <w:r w:rsidDel="00000000" w:rsidR="00000000" w:rsidRPr="00000000">
          <w:rPr>
            <w:rFonts w:ascii="Google Sans" w:cs="Google Sans" w:eastAsia="Google Sans" w:hAnsi="Google Sans"/>
            <w:color w:val="0000ee"/>
            <w:sz w:val="24"/>
            <w:szCs w:val="24"/>
            <w:u w:val="single"/>
            <w:rtl w:val="0"/>
          </w:rPr>
          <w:t xml:space="preserve">https://agr.wa.gov/cottagefood</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Iowa's Cottage Law - the Ins and Outs You Need to Know, accessed September 8, 2025, </w:t>
      </w:r>
      <w:hyperlink r:id="rId53">
        <w:r w:rsidDel="00000000" w:rsidR="00000000" w:rsidRPr="00000000">
          <w:rPr>
            <w:rFonts w:ascii="Google Sans" w:cs="Google Sans" w:eastAsia="Google Sans" w:hAnsi="Google Sans"/>
            <w:color w:val="0000ee"/>
            <w:sz w:val="24"/>
            <w:szCs w:val="24"/>
            <w:u w:val="single"/>
            <w:rtl w:val="0"/>
          </w:rPr>
          <w:t xml:space="preserve">https://www.extension.iastate.edu/smallfarms/iowas-cottage-law-ins-and-outs-you-need-know</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Cottage Food - Georgia Department of Agriculture, accessed September 8, 2025, </w:t>
      </w:r>
      <w:hyperlink r:id="rId54">
        <w:r w:rsidDel="00000000" w:rsidR="00000000" w:rsidRPr="00000000">
          <w:rPr>
            <w:rFonts w:ascii="Google Sans" w:cs="Google Sans" w:eastAsia="Google Sans" w:hAnsi="Google Sans"/>
            <w:color w:val="0000ee"/>
            <w:sz w:val="24"/>
            <w:szCs w:val="24"/>
            <w:u w:val="single"/>
            <w:rtl w:val="0"/>
          </w:rPr>
          <w:t xml:space="preserve">https://agr.georgia.gov/cottage-food</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weird laws in the US: Dumb but true legal oddities | Manshoory Law, accessed September 8, 2025, </w:t>
      </w:r>
      <w:hyperlink r:id="rId55">
        <w:r w:rsidDel="00000000" w:rsidR="00000000" w:rsidRPr="00000000">
          <w:rPr>
            <w:rFonts w:ascii="Google Sans" w:cs="Google Sans" w:eastAsia="Google Sans" w:hAnsi="Google Sans"/>
            <w:color w:val="0000ee"/>
            <w:sz w:val="24"/>
            <w:szCs w:val="24"/>
            <w:u w:val="single"/>
            <w:rtl w:val="0"/>
          </w:rPr>
          <w:t xml:space="preserve">https://manshoorylaw.com/blog/weird-laws-in-us/</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epistemological challenges of large language models in law | Cambridge Forum on AI: Law and Governance, accessed September 8, 2025, </w:t>
      </w:r>
      <w:hyperlink r:id="rId56">
        <w:r w:rsidDel="00000000" w:rsidR="00000000" w:rsidRPr="00000000">
          <w:rPr>
            <w:rFonts w:ascii="Google Sans" w:cs="Google Sans" w:eastAsia="Google Sans" w:hAnsi="Google Sans"/>
            <w:color w:val="0000ee"/>
            <w:sz w:val="24"/>
            <w:szCs w:val="24"/>
            <w:u w:val="single"/>
            <w:rtl w:val="0"/>
          </w:rPr>
          <w:t xml:space="preserve">https://www.cambridge.org/core/journals/cambridge-forum-on-ai-law-and-governance/article/examining-epistemological-challenges-of-large-language-models-in-law/66E7E100CF80163854AF261192D6151D</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issues with AI: Ethics, risks, and policy - Thomson Reuters Legal Solutions, accessed September 8, 2025, </w:t>
      </w:r>
      <w:hyperlink r:id="rId57">
        <w:r w:rsidDel="00000000" w:rsidR="00000000" w:rsidRPr="00000000">
          <w:rPr>
            <w:rFonts w:ascii="Google Sans" w:cs="Google Sans" w:eastAsia="Google Sans" w:hAnsi="Google Sans"/>
            <w:color w:val="0000ee"/>
            <w:sz w:val="24"/>
            <w:szCs w:val="24"/>
            <w:u w:val="single"/>
            <w:rtl w:val="0"/>
          </w:rPr>
          <w:t xml:space="preserve">https://legal.thomsonreuters.com/blog/the-key-legal-issues-with-gen-ai/</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Nexus of Large Language Models and Legal Systems: A Short Survey - arXiv, accessed September 8, 2025, </w:t>
      </w:r>
      <w:hyperlink r:id="rId58">
        <w:r w:rsidDel="00000000" w:rsidR="00000000" w:rsidRPr="00000000">
          <w:rPr>
            <w:rFonts w:ascii="Google Sans" w:cs="Google Sans" w:eastAsia="Google Sans" w:hAnsi="Google Sans"/>
            <w:color w:val="0000ee"/>
            <w:sz w:val="24"/>
            <w:szCs w:val="24"/>
            <w:u w:val="single"/>
            <w:rtl w:val="0"/>
          </w:rPr>
          <w:t xml:space="preserve">https://arxiv.org/html/2404.00990v1</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barriers of using large language models (LLM) such as ChatGPT for diagnostic medicine with a focus on digital pathology – a recent scoping review - PMC, accessed September 8,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https://pmc.ncbi.nlm.nih.gov/articles/PMC10898121/</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Peter Drucker's most essential organizational qualities, accessed September 8, 2025, </w:t>
      </w:r>
      <w:hyperlink r:id="rId60">
        <w:r w:rsidDel="00000000" w:rsidR="00000000" w:rsidRPr="00000000">
          <w:rPr>
            <w:rFonts w:ascii="Google Sans" w:cs="Google Sans" w:eastAsia="Google Sans" w:hAnsi="Google Sans"/>
            <w:color w:val="0000ee"/>
            <w:sz w:val="24"/>
            <w:szCs w:val="24"/>
            <w:u w:val="single"/>
            <w:rtl w:val="0"/>
          </w:rPr>
          <w:t xml:space="preserve">https://www.processexcellencenetwork.com/lessons_from_peter_drucker/articles/applying-peter-druckers-most-essential-organizational-qualities</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Stanford RegLab, accessed September 8, 2025, </w:t>
      </w:r>
      <w:hyperlink r:id="rId61">
        <w:r w:rsidDel="00000000" w:rsidR="00000000" w:rsidRPr="00000000">
          <w:rPr>
            <w:rFonts w:ascii="Google Sans" w:cs="Google Sans" w:eastAsia="Google Sans" w:hAnsi="Google Sans"/>
            <w:color w:val="0000ee"/>
            <w:sz w:val="24"/>
            <w:szCs w:val="24"/>
            <w:u w:val="single"/>
            <w:rtl w:val="0"/>
          </w:rPr>
          <w:t xml:space="preserve">https://reglab.stanford.edu/about/</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With Us - Stanford's RegLab, accessed September 8, 2025, </w:t>
      </w:r>
      <w:hyperlink r:id="rId62">
        <w:r w:rsidDel="00000000" w:rsidR="00000000" w:rsidRPr="00000000">
          <w:rPr>
            <w:rFonts w:ascii="Google Sans" w:cs="Google Sans" w:eastAsia="Google Sans" w:hAnsi="Google Sans"/>
            <w:color w:val="0000ee"/>
            <w:sz w:val="24"/>
            <w:szCs w:val="24"/>
            <w:u w:val="single"/>
            <w:rtl w:val="0"/>
          </w:rPr>
          <w:t xml:space="preserve">https://reglab.stanford.edu/work-with-us/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rightflag.com/resources/legal-prompt-engineering/" TargetMode="External"/><Relationship Id="rId42" Type="http://schemas.openxmlformats.org/officeDocument/2006/relationships/hyperlink" Target="https://www.thomsonreuters.com/en-us/posts/ai-in-courts/prompt-engineering/" TargetMode="External"/><Relationship Id="rId41" Type="http://schemas.openxmlformats.org/officeDocument/2006/relationships/hyperlink" Target="https://juro.com/learn/legal-prompt-engineering" TargetMode="External"/><Relationship Id="rId44" Type="http://schemas.openxmlformats.org/officeDocument/2006/relationships/hyperlink" Target="https://financialservices.house.gov/news/documentsingle.aspx?DocumentID=409732" TargetMode="External"/><Relationship Id="rId43" Type="http://schemas.openxmlformats.org/officeDocument/2006/relationships/hyperlink" Target="https://re-magazine.ireb.org/articles/detecting-incoherent-requirements-in-large-documents-experiments-and-user-evaluation" TargetMode="External"/><Relationship Id="rId46" Type="http://schemas.openxmlformats.org/officeDocument/2006/relationships/hyperlink" Target="https://www.fda.gov/food/guidance-regulation-food-and-dietary-supplements/food-safety-modernization-act-fsma" TargetMode="External"/><Relationship Id="rId45" Type="http://schemas.openxmlformats.org/officeDocument/2006/relationships/hyperlink" Target="https://www.deloitte.com/us/en/insights/industry/government-public-sector-services/automation-and-generative-ai-in-government/use-of-generative-ai-in-government-to-transform-regulatory-operation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ai.stanford.edu/news/hallucinating-law-legal-mistakes-large-language-models-are-pervasive" TargetMode="External"/><Relationship Id="rId48" Type="http://schemas.openxmlformats.org/officeDocument/2006/relationships/hyperlink" Target="https://milvus.io/ai-quick-reference/can-llms-handle-ambiguity-in-language" TargetMode="External"/><Relationship Id="rId47" Type="http://schemas.openxmlformats.org/officeDocument/2006/relationships/hyperlink" Target="https://agriculture.ny.gov/food-safety/food-safety-modernization-act" TargetMode="External"/><Relationship Id="rId49" Type="http://schemas.openxmlformats.org/officeDocument/2006/relationships/hyperlink" Target="https://www.aei.org/research-products/report/using-large-language-models-to-understand-ordinary-meanings-in-legal-texts-some-early-judicial-and-scholarly-experiments/" TargetMode="External"/><Relationship Id="rId5" Type="http://schemas.openxmlformats.org/officeDocument/2006/relationships/styles" Target="styles.xml"/><Relationship Id="rId6" Type="http://schemas.openxmlformats.org/officeDocument/2006/relationships/hyperlink" Target="https://en.wikipedia.org/wiki/Peter_Drucker" TargetMode="External"/><Relationship Id="rId7" Type="http://schemas.openxmlformats.org/officeDocument/2006/relationships/hyperlink" Target="https://reglab.stanford.edu/" TargetMode="External"/><Relationship Id="rId8" Type="http://schemas.openxmlformats.org/officeDocument/2006/relationships/hyperlink" Target="https://www.panopto.com/blog/what-is-a-knowledge-worker/#:~:text=More%20than%2050%20years%20ago,as%20a%20%E2%80%9Cknowledge%20worker.%E2%80%9D" TargetMode="External"/><Relationship Id="rId31" Type="http://schemas.openxmlformats.org/officeDocument/2006/relationships/hyperlink" Target="https://www.fda.gov/food/food-safety-modernization-act-fsma/fsma-final-rule-produce-safety" TargetMode="External"/><Relationship Id="rId30" Type="http://schemas.openxmlformats.org/officeDocument/2006/relationships/hyperlink" Target="https://extension.umn.edu/growing-safe-food/fsma-and-produce-safety-rule-does-rule-apply-me" TargetMode="External"/><Relationship Id="rId33" Type="http://schemas.openxmlformats.org/officeDocument/2006/relationships/hyperlink" Target="https://legalbriefs.deloitte.com/post/102iwka/introduction-to-legal-prompt-engineering-in-generative-ai" TargetMode="External"/><Relationship Id="rId32" Type="http://schemas.openxmlformats.org/officeDocument/2006/relationships/hyperlink" Target="https://scholar.smu.edu/cgi/viewcontent.cgi?article=1242&amp;context=datasciencereview" TargetMode="External"/><Relationship Id="rId35" Type="http://schemas.openxmlformats.org/officeDocument/2006/relationships/hyperlink" Target="https://www.morae.com/insights/workflows-mapping-out-your-current-legal-process/" TargetMode="External"/><Relationship Id="rId34" Type="http://schemas.openxmlformats.org/officeDocument/2006/relationships/hyperlink" Target="https://www.researchgate.net/publication/273024453_Semantic_NLP-Based_Information_Extraction_from_Construction_Regulatory_Documents_for_Automated_Compliance_Checking" TargetMode="External"/><Relationship Id="rId37" Type="http://schemas.openxmlformats.org/officeDocument/2006/relationships/hyperlink" Target="https://www.morae.com/insights/mapping-out-your-current-legal-process/?source=exigent" TargetMode="External"/><Relationship Id="rId36" Type="http://schemas.openxmlformats.org/officeDocument/2006/relationships/hyperlink" Target="https://www.korumlegal.com/blog/what-is-process-mapping-and-how-can-it-help" TargetMode="External"/><Relationship Id="rId39" Type="http://schemas.openxmlformats.org/officeDocument/2006/relationships/hyperlink" Target="https://digitalcommons.law.uw.edu/cgi/viewcontent.cgi?article=4227&amp;context=wlr" TargetMode="External"/><Relationship Id="rId38" Type="http://schemas.openxmlformats.org/officeDocument/2006/relationships/hyperlink" Target="https://www.attorneyatwork.com/how-to-take-the-work-out-of-your-workflow/" TargetMode="External"/><Relationship Id="rId62" Type="http://schemas.openxmlformats.org/officeDocument/2006/relationships/hyperlink" Target="https://reglab.stanford.edu/work-with-us/" TargetMode="External"/><Relationship Id="rId61" Type="http://schemas.openxmlformats.org/officeDocument/2006/relationships/hyperlink" Target="https://reglab.stanford.edu/about/" TargetMode="External"/><Relationship Id="rId20" Type="http://schemas.openxmlformats.org/officeDocument/2006/relationships/hyperlink" Target="https://lawliberty.org/forum/decoherence-or-incoherence/" TargetMode="External"/><Relationship Id="rId22" Type="http://schemas.openxmlformats.org/officeDocument/2006/relationships/hyperlink" Target="https://drucker.institute/principles/" TargetMode="External"/><Relationship Id="rId21" Type="http://schemas.openxmlformats.org/officeDocument/2006/relationships/hyperlink" Target="https://www.wyldleadership.com/peter-drucker-the-rules-of-effectiveness/" TargetMode="External"/><Relationship Id="rId24" Type="http://schemas.openxmlformats.org/officeDocument/2006/relationships/hyperlink" Target="https://www.runsensible.com/blog/weird-laws-in-the-us/" TargetMode="External"/><Relationship Id="rId23" Type="http://schemas.openxmlformats.org/officeDocument/2006/relationships/hyperlink" Target="https://forestgrove.pgusd.org/documents/Computer-Lab/Strange-State-Laws.pdf" TargetMode="External"/><Relationship Id="rId60" Type="http://schemas.openxmlformats.org/officeDocument/2006/relationships/hyperlink" Target="https://www.processexcellencenetwork.com/lessons_from_peter_drucker/articles/applying-peter-druckers-most-essential-organizational-qualities" TargetMode="External"/><Relationship Id="rId26" Type="http://schemas.openxmlformats.org/officeDocument/2006/relationships/hyperlink" Target="https://thinkers50.com/blog/relevance-peter-druckers-management-philosophy-todays-world/" TargetMode="External"/><Relationship Id="rId25" Type="http://schemas.openxmlformats.org/officeDocument/2006/relationships/hyperlink" Target="https://analystprep.com/study-notes/cfa-level-2/economic-rationale-for-regulatory-intervention/" TargetMode="External"/><Relationship Id="rId28" Type="http://schemas.openxmlformats.org/officeDocument/2006/relationships/hyperlink" Target="https://corporatefinanceinstitute.com/resources/valuation/knowledge-workers/" TargetMode="External"/><Relationship Id="rId27" Type="http://schemas.openxmlformats.org/officeDocument/2006/relationships/hyperlink" Target="https://www.druckerforum.org/blog/the-future-of-knowledge-work-what-drucker-can-teach-usby-karen-linkletter/" TargetMode="External"/><Relationship Id="rId29" Type="http://schemas.openxmlformats.org/officeDocument/2006/relationships/hyperlink" Target="https://www.corporatelearningnetwork.com/leadership/articles/what-motivates-the-modern-worker-peter-drucker-on-leading-millennials" TargetMode="External"/><Relationship Id="rId51" Type="http://schemas.openxmlformats.org/officeDocument/2006/relationships/hyperlink" Target="https://www.shopcastiron.com/seller/cottage-food-law" TargetMode="External"/><Relationship Id="rId50" Type="http://schemas.openxmlformats.org/officeDocument/2006/relationships/hyperlink" Target="https://www.astho.org/communications/blog/health-agencies-keeping-cottage-foods-safe/" TargetMode="External"/><Relationship Id="rId53" Type="http://schemas.openxmlformats.org/officeDocument/2006/relationships/hyperlink" Target="https://www.extension.iastate.edu/smallfarms/iowas-cottage-law-ins-and-outs-you-need-know" TargetMode="External"/><Relationship Id="rId52" Type="http://schemas.openxmlformats.org/officeDocument/2006/relationships/hyperlink" Target="https://agr.wa.gov/cottagefood" TargetMode="External"/><Relationship Id="rId11" Type="http://schemas.openxmlformats.org/officeDocument/2006/relationships/hyperlink" Target="https://www.graphream.com/blog/efficiency-vs-effectiveness-by-peter-drucker-for-organizations%7C17127" TargetMode="External"/><Relationship Id="rId55" Type="http://schemas.openxmlformats.org/officeDocument/2006/relationships/hyperlink" Target="https://manshoorylaw.com/blog/weird-laws-in-us/" TargetMode="External"/><Relationship Id="rId10" Type="http://schemas.openxmlformats.org/officeDocument/2006/relationships/hyperlink" Target="https://intranet.engineering.ucdavis.edu/sites/g/files/dgvnsk9601/files/inline-files/Effectiveness-vs.-efficiency-%E2%80%93-Let%E2%80%99s-not-confuse-the-two-1.pdf" TargetMode="External"/><Relationship Id="rId54" Type="http://schemas.openxmlformats.org/officeDocument/2006/relationships/hyperlink" Target="https://agr.georgia.gov/cottage-food" TargetMode="External"/><Relationship Id="rId13" Type="http://schemas.openxmlformats.org/officeDocument/2006/relationships/hyperlink" Target="https://www.theexpgroup.com/knowledge-base/peter-druckers-5-operations-of-management/" TargetMode="External"/><Relationship Id="rId57" Type="http://schemas.openxmlformats.org/officeDocument/2006/relationships/hyperlink" Target="https://legal.thomsonreuters.com/blog/the-key-legal-issues-with-gen-ai/" TargetMode="External"/><Relationship Id="rId12" Type="http://schemas.openxmlformats.org/officeDocument/2006/relationships/hyperlink" Target="https://tomspears.com/corporate-politics/2015/4/27/classic-corporate-inefficiency-compliance-vs-management-1" TargetMode="External"/><Relationship Id="rId56" Type="http://schemas.openxmlformats.org/officeDocument/2006/relationships/hyperlink" Target="https://www.cambridge.org/core/journals/cambridge-forum-on-ai-law-and-governance/article/examining-epistemological-challenges-of-large-language-models-in-law/66E7E100CF80163854AF261192D6151D" TargetMode="External"/><Relationship Id="rId15" Type="http://schemas.openxmlformats.org/officeDocument/2006/relationships/hyperlink" Target="https://www.uschamber.com/improving-government/overregulation-is-crippling-business-getting-regulations-right-is-the-key-to-growth" TargetMode="External"/><Relationship Id="rId59" Type="http://schemas.openxmlformats.org/officeDocument/2006/relationships/hyperlink" Target="https://pmc.ncbi.nlm.nih.gov/articles/PMC10898121/" TargetMode="External"/><Relationship Id="rId14" Type="http://schemas.openxmlformats.org/officeDocument/2006/relationships/hyperlink" Target="https://drucker.institute/ranking-company-effectiveness/" TargetMode="External"/><Relationship Id="rId58" Type="http://schemas.openxmlformats.org/officeDocument/2006/relationships/hyperlink" Target="https://arxiv.org/html/2404.00990v1" TargetMode="External"/><Relationship Id="rId17" Type="http://schemas.openxmlformats.org/officeDocument/2006/relationships/hyperlink" Target="https://www.business.com/articles/management-theory-of-peter-drucker/" TargetMode="External"/><Relationship Id="rId16" Type="http://schemas.openxmlformats.org/officeDocument/2006/relationships/hyperlink" Target="https://www.uschamber.com/small-business/a-majority-of-small-businesses-say-regulations-are-hindering-growth" TargetMode="External"/><Relationship Id="rId19" Type="http://schemas.openxmlformats.org/officeDocument/2006/relationships/hyperlink" Target="https://esg.sustainability-directory.com/question/what-are-the-implications-of-policy-incoherence/" TargetMode="External"/><Relationship Id="rId18" Type="http://schemas.openxmlformats.org/officeDocument/2006/relationships/hyperlink" Target="https://www.businessnewsdaily.com/10634-peter-drucker-management-theory.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